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0E5CDFEC" w:rsidR="00705EC3" w:rsidRDefault="60688D37" w:rsidP="60688D37">
      <w:pPr>
        <w:rPr>
          <w:b/>
          <w:bCs/>
          <w:sz w:val="32"/>
          <w:szCs w:val="32"/>
        </w:rPr>
      </w:pPr>
      <w:r w:rsidRPr="60688D37">
        <w:rPr>
          <w:b/>
          <w:bCs/>
          <w:sz w:val="32"/>
          <w:szCs w:val="32"/>
        </w:rPr>
        <w:t>Headline – Keep it short and to the point, 10-15 words or less</w:t>
      </w:r>
    </w:p>
    <w:p w14:paraId="1C2455A6" w14:textId="4FC9B3D4" w:rsidR="60688D37" w:rsidRDefault="60688D37" w:rsidP="2DFF1A1F">
      <w:r w:rsidRPr="2DFF1A1F">
        <w:rPr>
          <w:b/>
          <w:bCs/>
        </w:rPr>
        <w:t>Introduction - include the most important and most interesting fact here</w:t>
      </w:r>
    </w:p>
    <w:p w14:paraId="59255F61" w14:textId="003A1EFB" w:rsidR="60688D37" w:rsidRDefault="60688D37" w:rsidP="2DFF1A1F">
      <w:r w:rsidRPr="2DFF1A1F">
        <w:t>Main content – see our PR tips for ideas of what to include. Try and keep it to one page if possible.</w:t>
      </w:r>
    </w:p>
    <w:p w14:paraId="1EEB5B7D" w14:textId="6DC8E2CE" w:rsidR="60688D37" w:rsidRDefault="60688D37" w:rsidP="60688D37">
      <w:r w:rsidRPr="2DFF1A1F">
        <w:t>ENDS</w:t>
      </w:r>
    </w:p>
    <w:p w14:paraId="274CE530" w14:textId="5000F513" w:rsidR="60688D37" w:rsidRDefault="60688D37" w:rsidP="60688D37">
      <w:r w:rsidRPr="2DFF1A1F">
        <w:t xml:space="preserve">Make sure you include a link to your website if you have </w:t>
      </w:r>
      <w:proofErr w:type="gramStart"/>
      <w:r w:rsidRPr="2DFF1A1F">
        <w:t>one, and</w:t>
      </w:r>
      <w:proofErr w:type="gramEnd"/>
      <w:r w:rsidRPr="2DFF1A1F">
        <w:t xml:space="preserve"> contact details so the journalist can get in touch if they want more information.</w:t>
      </w:r>
      <w:r>
        <w:br/>
      </w:r>
      <w:r w:rsidRPr="2DFF1A1F">
        <w:t>Name</w:t>
      </w:r>
      <w:r>
        <w:br/>
      </w:r>
      <w:r w:rsidRPr="2DFF1A1F">
        <w:t>Telephone</w:t>
      </w:r>
      <w:r>
        <w:br/>
      </w:r>
      <w:r w:rsidRPr="2DFF1A1F">
        <w:t>Email</w:t>
      </w:r>
    </w:p>
    <w:p w14:paraId="534FAA18" w14:textId="4C058AE3" w:rsidR="60688D37" w:rsidRDefault="60688D37" w:rsidP="60688D37">
      <w:pPr>
        <w:rPr>
          <w:b/>
          <w:bCs/>
        </w:rPr>
      </w:pPr>
      <w:r w:rsidRPr="60688D37">
        <w:rPr>
          <w:b/>
          <w:bCs/>
        </w:rPr>
        <w:t>Notes to the Editor</w:t>
      </w:r>
    </w:p>
    <w:p w14:paraId="12A5E3AD" w14:textId="0D9835E2" w:rsidR="60688D37" w:rsidRDefault="60688D37" w:rsidP="60688D37">
      <w:r w:rsidRPr="60688D37">
        <w:t>You can include information like who your spokesperson is if it’s not the same person whose contact details you have included above.</w:t>
      </w:r>
    </w:p>
    <w:p w14:paraId="1AC2E608" w14:textId="7AD8DFF5" w:rsidR="60688D37" w:rsidRDefault="60688D37" w:rsidP="60688D37">
      <w:pPr>
        <w:rPr>
          <w:b/>
          <w:bCs/>
        </w:rPr>
      </w:pPr>
      <w:r w:rsidRPr="60688D37">
        <w:rPr>
          <w:b/>
          <w:bCs/>
        </w:rPr>
        <w:t xml:space="preserve">About &lt;your </w:t>
      </w:r>
      <w:proofErr w:type="spellStart"/>
      <w:r w:rsidRPr="60688D37">
        <w:rPr>
          <w:b/>
          <w:bCs/>
        </w:rPr>
        <w:t>organisation</w:t>
      </w:r>
      <w:proofErr w:type="spellEnd"/>
      <w:r w:rsidRPr="60688D37">
        <w:rPr>
          <w:b/>
          <w:bCs/>
        </w:rPr>
        <w:t>&gt;</w:t>
      </w:r>
    </w:p>
    <w:p w14:paraId="49DA48F3" w14:textId="6D3FBE7E" w:rsidR="60688D37" w:rsidRDefault="60688D37" w:rsidP="60688D37">
      <w:r w:rsidRPr="1EEA6757">
        <w:t xml:space="preserve">This section is for general information about your </w:t>
      </w:r>
      <w:proofErr w:type="spellStart"/>
      <w:r w:rsidRPr="1EEA6757">
        <w:t>organisation</w:t>
      </w:r>
      <w:proofErr w:type="spellEnd"/>
      <w:r w:rsidRPr="1EEA6757">
        <w:t xml:space="preserve">. This is often details like what you do, how long you have been going and if you are a charity. You can also include any stats you have or other important information about you or your </w:t>
      </w:r>
      <w:proofErr w:type="spellStart"/>
      <w:r w:rsidRPr="1EEA6757">
        <w:t>organisation</w:t>
      </w:r>
      <w:proofErr w:type="spellEnd"/>
      <w:r w:rsidRPr="1EEA6757">
        <w:t xml:space="preserve">. </w:t>
      </w:r>
    </w:p>
    <w:p w14:paraId="2D6C0BCB" w14:textId="0AA291D7" w:rsidR="20F46174" w:rsidRDefault="20F46174" w:rsidP="1EEA6757">
      <w:r w:rsidRPr="1EEA6757">
        <w:t>You can also include information about Bikeability</w:t>
      </w:r>
      <w:r w:rsidR="00A31643">
        <w:t>:</w:t>
      </w:r>
    </w:p>
    <w:p w14:paraId="19EF76F7" w14:textId="60D9D871" w:rsidR="20F46174" w:rsidRDefault="20F46174" w:rsidP="1EEA6757">
      <w:pPr>
        <w:rPr>
          <w:rFonts w:ascii="Calibri" w:eastAsia="Calibri" w:hAnsi="Calibri" w:cs="Calibri"/>
          <w:color w:val="000000" w:themeColor="text1"/>
        </w:rPr>
      </w:pPr>
      <w:r w:rsidRPr="1EEA6757">
        <w:rPr>
          <w:rFonts w:ascii="Calibri" w:eastAsia="Calibri" w:hAnsi="Calibri" w:cs="Calibri"/>
          <w:b/>
          <w:bCs/>
          <w:color w:val="000000" w:themeColor="text1"/>
          <w:lang w:val="en-GB"/>
        </w:rPr>
        <w:t>About the Bikeability Trust</w:t>
      </w:r>
      <w:r w:rsidRPr="1EEA6757">
        <w:rPr>
          <w:rFonts w:ascii="Calibri" w:eastAsia="Calibri" w:hAnsi="Calibri" w:cs="Calibri"/>
          <w:color w:val="000000" w:themeColor="text1"/>
          <w:lang w:val="en-GB"/>
        </w:rPr>
        <w:t>  </w:t>
      </w:r>
    </w:p>
    <w:p w14:paraId="2DBDEAF6" w14:textId="03E8F1F6" w:rsidR="20F46174" w:rsidRDefault="20F46174" w:rsidP="1EEA6757">
      <w:pPr>
        <w:rPr>
          <w:rFonts w:ascii="Calibri" w:eastAsia="Calibri" w:hAnsi="Calibri" w:cs="Calibri"/>
          <w:color w:val="000000" w:themeColor="text1"/>
        </w:rPr>
      </w:pPr>
      <w:r w:rsidRPr="1EEA6757">
        <w:rPr>
          <w:rFonts w:ascii="Calibri" w:eastAsia="Calibri" w:hAnsi="Calibri" w:cs="Calibri"/>
          <w:color w:val="000000" w:themeColor="text1"/>
          <w:lang w:val="en-GB"/>
        </w:rPr>
        <w:t xml:space="preserve">The Bikeability Trust is a Charitable Incorporated Organisation with the vision to ensure everyone has the confidence to cycle and enjoy this skill for life. The Trust manages, </w:t>
      </w:r>
      <w:proofErr w:type="gramStart"/>
      <w:r w:rsidRPr="1EEA6757">
        <w:rPr>
          <w:rFonts w:ascii="Calibri" w:eastAsia="Calibri" w:hAnsi="Calibri" w:cs="Calibri"/>
          <w:color w:val="000000" w:themeColor="text1"/>
          <w:lang w:val="en-GB"/>
        </w:rPr>
        <w:t>develops</w:t>
      </w:r>
      <w:proofErr w:type="gramEnd"/>
      <w:r w:rsidRPr="1EEA6757">
        <w:rPr>
          <w:rFonts w:ascii="Calibri" w:eastAsia="Calibri" w:hAnsi="Calibri" w:cs="Calibri"/>
          <w:color w:val="000000" w:themeColor="text1"/>
          <w:lang w:val="en-GB"/>
        </w:rPr>
        <w:t xml:space="preserve"> and promotes the Bikeability programme on behalf of the Department for Transport.  </w:t>
      </w:r>
    </w:p>
    <w:p w14:paraId="21BF2924" w14:textId="6795650E" w:rsidR="20F46174" w:rsidRDefault="20F46174" w:rsidP="1EEA6757">
      <w:pPr>
        <w:rPr>
          <w:rFonts w:ascii="Calibri" w:eastAsia="Calibri" w:hAnsi="Calibri" w:cs="Calibri"/>
          <w:color w:val="000000" w:themeColor="text1"/>
        </w:rPr>
      </w:pPr>
      <w:r w:rsidRPr="1EEA6757">
        <w:rPr>
          <w:rFonts w:ascii="Calibri" w:eastAsia="Calibri" w:hAnsi="Calibri" w:cs="Calibri"/>
          <w:color w:val="000000" w:themeColor="text1"/>
          <w:lang w:val="en-GB"/>
        </w:rPr>
        <w:t>Bikeability is the Department for Transport’s flagship national cycle training programme for schoolchildren in England and is a key component of </w:t>
      </w:r>
      <w:hyperlink r:id="rId8">
        <w:r w:rsidRPr="1EEA6757">
          <w:rPr>
            <w:rStyle w:val="Hyperlink"/>
            <w:rFonts w:ascii="Calibri" w:eastAsia="Calibri" w:hAnsi="Calibri" w:cs="Calibri"/>
            <w:lang w:val="en-GB"/>
          </w:rPr>
          <w:t>Gear change</w:t>
        </w:r>
      </w:hyperlink>
      <w:r w:rsidRPr="1EEA6757">
        <w:rPr>
          <w:rFonts w:ascii="Calibri" w:eastAsia="Calibri" w:hAnsi="Calibri" w:cs="Calibri"/>
          <w:color w:val="000000" w:themeColor="text1"/>
          <w:lang w:val="en-GB"/>
        </w:rPr>
        <w:t>. Bikeability cycle training is a practical training programme, which provides schoolchildren with a life skill and enables them to cycle confidently and competently on today’s roads. More than 3.6 million children have received Bikeability cycle training since the programme’s inception in 2007.  </w:t>
      </w:r>
    </w:p>
    <w:p w14:paraId="5CF42936" w14:textId="1300A70D" w:rsidR="20F46174" w:rsidRDefault="20F46174" w:rsidP="1EEA6757">
      <w:pPr>
        <w:rPr>
          <w:rFonts w:ascii="Calibri" w:eastAsia="Calibri" w:hAnsi="Calibri" w:cs="Calibri"/>
          <w:color w:val="000000" w:themeColor="text1"/>
        </w:rPr>
      </w:pPr>
      <w:r w:rsidRPr="1EEA6757">
        <w:rPr>
          <w:rFonts w:ascii="Calibri" w:eastAsia="Calibri" w:hAnsi="Calibri" w:cs="Calibri"/>
          <w:color w:val="000000" w:themeColor="text1"/>
          <w:lang w:val="en-GB"/>
        </w:rPr>
        <w:t>For more information or to find a course near you, visit </w:t>
      </w:r>
      <w:hyperlink r:id="rId9">
        <w:r w:rsidRPr="1EEA6757">
          <w:rPr>
            <w:rStyle w:val="Hyperlink"/>
            <w:rFonts w:ascii="Calibri" w:eastAsia="Calibri" w:hAnsi="Calibri" w:cs="Calibri"/>
            <w:lang w:val="en-GB"/>
          </w:rPr>
          <w:t>www.bikeability.org.uk</w:t>
        </w:r>
      </w:hyperlink>
      <w:r w:rsidRPr="1EEA6757">
        <w:rPr>
          <w:rFonts w:ascii="Calibri" w:eastAsia="Calibri" w:hAnsi="Calibri" w:cs="Calibri"/>
          <w:color w:val="000000" w:themeColor="text1"/>
          <w:lang w:val="en-GB"/>
        </w:rPr>
        <w:t>  </w:t>
      </w:r>
    </w:p>
    <w:p w14:paraId="4973F3B2" w14:textId="675D13A1" w:rsidR="60688D37" w:rsidRDefault="60688D37" w:rsidP="60688D37">
      <w:r w:rsidRPr="60688D37">
        <w:t xml:space="preserve">You can see some </w:t>
      </w:r>
      <w:hyperlink r:id="rId10">
        <w:r w:rsidRPr="60688D37">
          <w:rPr>
            <w:rStyle w:val="Hyperlink"/>
          </w:rPr>
          <w:t>examples of our press releases on our news page here</w:t>
        </w:r>
      </w:hyperlink>
      <w:r w:rsidRPr="60688D37">
        <w:t>.</w:t>
      </w:r>
    </w:p>
    <w:p w14:paraId="51BF04D7" w14:textId="0FFAB80F" w:rsidR="60688D37" w:rsidRDefault="60688D37" w:rsidP="60688D37">
      <w:pPr>
        <w:rPr>
          <w:b/>
          <w:bCs/>
        </w:rPr>
      </w:pPr>
    </w:p>
    <w:sectPr w:rsidR="60688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/C6mGJeQTWOW1" int2:id="c0pjN92f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61F46"/>
    <w:multiLevelType w:val="hybridMultilevel"/>
    <w:tmpl w:val="5694F78C"/>
    <w:lvl w:ilvl="0" w:tplc="521A3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08EA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64C1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46E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0E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741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C483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6CB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8A7C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493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42BE73"/>
    <w:rsid w:val="00705EC3"/>
    <w:rsid w:val="00A31643"/>
    <w:rsid w:val="0142BE73"/>
    <w:rsid w:val="04A2BA06"/>
    <w:rsid w:val="09826ECD"/>
    <w:rsid w:val="0B19E910"/>
    <w:rsid w:val="0B1E3F2E"/>
    <w:rsid w:val="0BF0EC3E"/>
    <w:rsid w:val="0CADCBEB"/>
    <w:rsid w:val="0CB5B971"/>
    <w:rsid w:val="0FE56CAD"/>
    <w:rsid w:val="14B8DDD0"/>
    <w:rsid w:val="17F86C18"/>
    <w:rsid w:val="1EEA6757"/>
    <w:rsid w:val="1F424832"/>
    <w:rsid w:val="1F469E50"/>
    <w:rsid w:val="20DE1893"/>
    <w:rsid w:val="20F46174"/>
    <w:rsid w:val="2DFF1A1F"/>
    <w:rsid w:val="30DF6A1E"/>
    <w:rsid w:val="324B6990"/>
    <w:rsid w:val="35C7AD80"/>
    <w:rsid w:val="444200E9"/>
    <w:rsid w:val="46B86BE0"/>
    <w:rsid w:val="49F7FA28"/>
    <w:rsid w:val="4B93CA89"/>
    <w:rsid w:val="51FB1E87"/>
    <w:rsid w:val="5804D121"/>
    <w:rsid w:val="58724D91"/>
    <w:rsid w:val="5A06306C"/>
    <w:rsid w:val="5D883D38"/>
    <w:rsid w:val="60643719"/>
    <w:rsid w:val="60688D37"/>
    <w:rsid w:val="6157FA0C"/>
    <w:rsid w:val="69630BF1"/>
    <w:rsid w:val="6D5BE27E"/>
    <w:rsid w:val="707A5AE3"/>
    <w:rsid w:val="73CB2402"/>
    <w:rsid w:val="754DCC06"/>
    <w:rsid w:val="7AFBD7BF"/>
    <w:rsid w:val="7B15001C"/>
    <w:rsid w:val="7D60CB71"/>
    <w:rsid w:val="7D8FC131"/>
    <w:rsid w:val="7E33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2BE73"/>
  <w15:chartTrackingRefBased/>
  <w15:docId w15:val="{65F44E2F-CE20-464C-B4AB-2435121A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government/uploads/system/uploads/attachment_data/file/904146/gear-change-a-bold-vision-for-cycling-and-walking.pdf" TargetMode="Externa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bikeability.org.uk/blo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gbr01.safelinks.protection.outlook.com/?url=http%3A%2F%2Fwww.bikeability.org.uk%2F&amp;data=04%7C01%7Cjessica%40bikeabilitytrust.org%7C64d426adfc624311e44608d9366359d4%7Cd5c7c7a167634fcca24592f821d33c89%7C0%7C0%7C637600622611962891%7CUnknown%7CTWFpbGZsb3d8eyJWIjoiMC4wLjAwMDAiLCJQIjoiV2luMzIiLCJBTiI6Ik1haWwiLCJXVCI6Mn0%3D%7C1000&amp;sdata=BuJhbkelFAWkm0MG53c00Le7c7rRdRIQMeyTm%2BfccrA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54507d-80b7-4732-aa91-1bd259b279a1">
      <Terms xmlns="http://schemas.microsoft.com/office/infopath/2007/PartnerControls"/>
    </lcf76f155ced4ddcb4097134ff3c332f>
    <TaxCatchAll xmlns="5478f610-55f3-467b-bec7-79e756b45d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ADC7A3CCD1645915F53E5A5890C4B" ma:contentTypeVersion="17" ma:contentTypeDescription="Create a new document." ma:contentTypeScope="" ma:versionID="ad16388642d5974086da395d1e892c83">
  <xsd:schema xmlns:xsd="http://www.w3.org/2001/XMLSchema" xmlns:xs="http://www.w3.org/2001/XMLSchema" xmlns:p="http://schemas.microsoft.com/office/2006/metadata/properties" xmlns:ns2="c754507d-80b7-4732-aa91-1bd259b279a1" xmlns:ns3="5478f610-55f3-467b-bec7-79e756b45d50" targetNamespace="http://schemas.microsoft.com/office/2006/metadata/properties" ma:root="true" ma:fieldsID="bdf0fd100f01eb12aa7818543bacd3f5" ns2:_="" ns3:_="">
    <xsd:import namespace="c754507d-80b7-4732-aa91-1bd259b279a1"/>
    <xsd:import namespace="5478f610-55f3-467b-bec7-79e756b45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4507d-80b7-4732-aa91-1bd259b27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d9410b-0085-4582-863b-bbeba6af09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8f610-55f3-467b-bec7-79e756b45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e2a29c-75f6-418c-8038-b8d6b6e79fd6}" ma:internalName="TaxCatchAll" ma:showField="CatchAllData" ma:web="5478f610-55f3-467b-bec7-79e756b4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2CFA3C-84EB-4882-934E-7856CA15A65D}">
  <ds:schemaRefs>
    <ds:schemaRef ds:uri="http://schemas.microsoft.com/office/2006/metadata/properties"/>
    <ds:schemaRef ds:uri="http://schemas.microsoft.com/office/infopath/2007/PartnerControls"/>
    <ds:schemaRef ds:uri="c754507d-80b7-4732-aa91-1bd259b279a1"/>
    <ds:schemaRef ds:uri="5478f610-55f3-467b-bec7-79e756b45d50"/>
  </ds:schemaRefs>
</ds:datastoreItem>
</file>

<file path=customXml/itemProps2.xml><?xml version="1.0" encoding="utf-8"?>
<ds:datastoreItem xmlns:ds="http://schemas.openxmlformats.org/officeDocument/2006/customXml" ds:itemID="{E0994ADE-0937-46AE-8D98-A8077EBBD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577A64-4DE6-4663-ADA6-DF1911D1A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4507d-80b7-4732-aa91-1bd259b279a1"/>
    <ds:schemaRef ds:uri="5478f610-55f3-467b-bec7-79e756b45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Watson-Jones</dc:creator>
  <cp:keywords/>
  <dc:description/>
  <cp:lastModifiedBy>Sally Jones</cp:lastModifiedBy>
  <cp:revision>2</cp:revision>
  <dcterms:created xsi:type="dcterms:W3CDTF">2022-07-11T12:46:00Z</dcterms:created>
  <dcterms:modified xsi:type="dcterms:W3CDTF">2022-10-11T13:34:00Z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0x010100840ADC7A3CCD1645915F53E5A5890C4B</vt:lpwstr>
  </property>
  <property fmtid="{D5CDD505-2E9C-101B-9397-08002B2CF9AE}" pid="3" name="MediaServiceImageTags">
    <vt:lpwstr/>
  </property>
</Properties>
</file>